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84599" w14:textId="4A2D77E3" w:rsidR="001247E7" w:rsidRPr="00161054" w:rsidRDefault="00090BEE" w:rsidP="00D70D9A">
      <w:pPr>
        <w:spacing w:line="360" w:lineRule="auto"/>
        <w:jc w:val="both"/>
        <w:rPr>
          <w:rFonts w:ascii="Sylfaen" w:hAnsi="Sylfaen"/>
          <w:lang w:val="ru-RU"/>
        </w:rPr>
      </w:pPr>
      <w:r w:rsidRPr="00161054">
        <w:rPr>
          <w:rFonts w:ascii="Sylfaen" w:hAnsi="Sylfaen"/>
          <w:lang w:val="ru-RU"/>
        </w:rPr>
        <w:t>Статья 267.</w:t>
      </w:r>
      <w:r w:rsidRPr="00161054">
        <w:rPr>
          <w:rFonts w:ascii="Sylfaen" w:hAnsi="Sylfaen"/>
          <w:lang w:val="ru-RU"/>
        </w:rPr>
        <w:tab/>
        <w:t>Субъекты микропредпринимательства</w:t>
      </w:r>
      <w:r w:rsidR="00711A31" w:rsidRPr="00161054">
        <w:rPr>
          <w:rFonts w:ascii="Sylfaen" w:hAnsi="Sylfaen"/>
          <w:lang w:val="ru-RU"/>
        </w:rPr>
        <w:t xml:space="preserve"> (ИП и ООО)</w:t>
      </w:r>
    </w:p>
    <w:p w14:paraId="2EEFD6B2" w14:textId="77777777" w:rsidR="00844DEC" w:rsidRPr="00161054" w:rsidRDefault="00844DEC" w:rsidP="00D70D9A">
      <w:pPr>
        <w:spacing w:line="360" w:lineRule="auto"/>
        <w:jc w:val="both"/>
        <w:rPr>
          <w:rFonts w:ascii="Sylfaen" w:hAnsi="Sylfaen"/>
          <w:lang w:val="ru-RU"/>
        </w:rPr>
      </w:pPr>
    </w:p>
    <w:p w14:paraId="3EC035A2" w14:textId="1C842802" w:rsidR="00090BEE" w:rsidRPr="00161054" w:rsidRDefault="00844DEC" w:rsidP="00D70D9A">
      <w:pPr>
        <w:spacing w:line="360" w:lineRule="auto"/>
        <w:ind w:left="-450" w:firstLine="90"/>
        <w:jc w:val="both"/>
        <w:rPr>
          <w:rFonts w:ascii="Sylfaen" w:hAnsi="Sylfaen"/>
        </w:rPr>
      </w:pPr>
      <w:r w:rsidRPr="00161054">
        <w:rPr>
          <w:rFonts w:ascii="Sylfaen" w:hAnsi="Sylfaen"/>
        </w:rPr>
        <w:t>5. Субъектами микропредпринимательства не могут считаться:</w:t>
      </w:r>
    </w:p>
    <w:p w14:paraId="59B80407" w14:textId="4953E295" w:rsidR="00860DB5" w:rsidRPr="005D3473" w:rsidRDefault="00860DB5" w:rsidP="000576EC">
      <w:pPr>
        <w:spacing w:line="360" w:lineRule="auto"/>
        <w:ind w:left="-450" w:firstLine="90"/>
        <w:jc w:val="both"/>
        <w:rPr>
          <w:rFonts w:ascii="Sylfaen" w:hAnsi="Sylfaen"/>
          <w:lang w:val="ru-RU"/>
        </w:rPr>
      </w:pPr>
      <w:r w:rsidRPr="00161054">
        <w:rPr>
          <w:rFonts w:ascii="Sylfaen" w:hAnsi="Sylfaen"/>
          <w:lang w:val="ru-RU"/>
        </w:rPr>
        <w:t xml:space="preserve">1) банки, кредитные организации, страховые компании, страховые агенты, страховые брокеры, инвестиционные компании, специализированные участники рынка ценных бумаг, ломбарды, валютные торговцы, инвестиционные фонды, управляющие фондами, расчетные организации, нотариусы, казино, </w:t>
      </w:r>
      <w:r w:rsidR="00340207" w:rsidRPr="00161054">
        <w:rPr>
          <w:rFonts w:ascii="Sylfaen" w:hAnsi="Sylfaen"/>
          <w:lang w:val="ru-RU"/>
        </w:rPr>
        <w:t>организаци</w:t>
      </w:r>
      <w:r w:rsidR="00340207">
        <w:rPr>
          <w:rFonts w:ascii="Sylfaen" w:hAnsi="Sylfaen"/>
          <w:lang w:val="ru-RU"/>
        </w:rPr>
        <w:t xml:space="preserve">и </w:t>
      </w:r>
      <w:r w:rsidR="00340207" w:rsidRPr="00161054">
        <w:rPr>
          <w:rFonts w:ascii="Sylfaen" w:hAnsi="Sylfaen"/>
          <w:lang w:val="ru-RU"/>
        </w:rPr>
        <w:t>осуществляющи</w:t>
      </w:r>
      <w:r w:rsidR="00340207">
        <w:rPr>
          <w:rFonts w:ascii="Sylfaen" w:hAnsi="Sylfaen"/>
          <w:lang w:val="ru-RU"/>
        </w:rPr>
        <w:t>е</w:t>
      </w:r>
      <w:r w:rsidR="00340207" w:rsidRPr="00161054">
        <w:rPr>
          <w:rFonts w:ascii="Sylfaen" w:hAnsi="Sylfaen"/>
          <w:lang w:val="ru-RU"/>
        </w:rPr>
        <w:t xml:space="preserve"> деятельность</w:t>
      </w:r>
      <w:r w:rsidR="00340207">
        <w:rPr>
          <w:rFonts w:ascii="Sylfaen" w:hAnsi="Sylfaen"/>
          <w:lang w:val="ru-RU"/>
        </w:rPr>
        <w:t xml:space="preserve"> </w:t>
      </w:r>
      <w:r w:rsidRPr="00161054">
        <w:rPr>
          <w:rFonts w:ascii="Sylfaen" w:hAnsi="Sylfaen"/>
          <w:lang w:val="ru-RU"/>
        </w:rPr>
        <w:t>выигрышны</w:t>
      </w:r>
      <w:r w:rsidR="00340207">
        <w:rPr>
          <w:rFonts w:ascii="Sylfaen" w:hAnsi="Sylfaen"/>
          <w:lang w:val="ru-RU"/>
        </w:rPr>
        <w:t>х</w:t>
      </w:r>
      <w:r w:rsidRPr="00161054">
        <w:rPr>
          <w:rFonts w:ascii="Sylfaen" w:hAnsi="Sylfaen"/>
          <w:lang w:val="ru-RU"/>
        </w:rPr>
        <w:t xml:space="preserve"> игр или лотереи, осуществляющих деятельность по организации саун, бань, аудиторски</w:t>
      </w:r>
      <w:r w:rsidR="00F86139">
        <w:rPr>
          <w:rFonts w:ascii="Sylfaen" w:hAnsi="Sylfaen"/>
          <w:lang w:val="ru-RU"/>
        </w:rPr>
        <w:t>е</w:t>
      </w:r>
      <w:r w:rsidRPr="00161054">
        <w:rPr>
          <w:rFonts w:ascii="Sylfaen" w:hAnsi="Sylfaen"/>
          <w:lang w:val="ru-RU"/>
        </w:rPr>
        <w:t xml:space="preserve"> организаци</w:t>
      </w:r>
      <w:r w:rsidR="00F86139">
        <w:rPr>
          <w:rFonts w:ascii="Sylfaen" w:hAnsi="Sylfaen"/>
          <w:lang w:val="ru-RU"/>
        </w:rPr>
        <w:t>и</w:t>
      </w:r>
      <w:r w:rsidRPr="00161054">
        <w:rPr>
          <w:rFonts w:ascii="Sylfaen" w:hAnsi="Sylfaen"/>
          <w:lang w:val="ru-RU"/>
        </w:rPr>
        <w:t>, организаци</w:t>
      </w:r>
      <w:r w:rsidR="00F86139">
        <w:rPr>
          <w:rFonts w:ascii="Sylfaen" w:hAnsi="Sylfaen"/>
          <w:lang w:val="ru-RU"/>
        </w:rPr>
        <w:t xml:space="preserve">и и </w:t>
      </w:r>
      <w:r w:rsidR="00F86139" w:rsidRPr="00F86139">
        <w:rPr>
          <w:rFonts w:ascii="Sylfaen" w:hAnsi="Sylfaen"/>
          <w:lang w:val="ru-RU"/>
        </w:rPr>
        <w:t>индивидуальны</w:t>
      </w:r>
      <w:r w:rsidR="00F86139">
        <w:rPr>
          <w:rFonts w:ascii="Sylfaen" w:hAnsi="Sylfaen"/>
          <w:lang w:val="ru-RU"/>
        </w:rPr>
        <w:t>е</w:t>
      </w:r>
      <w:r w:rsidR="00F86139" w:rsidRPr="00F86139">
        <w:rPr>
          <w:rFonts w:ascii="Sylfaen" w:hAnsi="Sylfaen"/>
          <w:lang w:val="ru-RU"/>
        </w:rPr>
        <w:t xml:space="preserve"> предпринимател</w:t>
      </w:r>
      <w:r w:rsidR="00F86139">
        <w:rPr>
          <w:rFonts w:ascii="Sylfaen" w:hAnsi="Sylfaen"/>
          <w:lang w:val="ru-RU"/>
        </w:rPr>
        <w:t>и</w:t>
      </w:r>
      <w:r w:rsidRPr="00161054">
        <w:rPr>
          <w:rFonts w:ascii="Sylfaen" w:hAnsi="Sylfaen"/>
          <w:lang w:val="ru-RU"/>
        </w:rPr>
        <w:t xml:space="preserve">, осуществляющих коммерческую </w:t>
      </w:r>
      <w:r w:rsidRPr="005D3473">
        <w:rPr>
          <w:rFonts w:ascii="Sylfaen" w:hAnsi="Sylfaen"/>
          <w:lang w:val="ru-RU"/>
        </w:rPr>
        <w:t>(купи-продажу) деятельность;</w:t>
      </w:r>
    </w:p>
    <w:p w14:paraId="4731397B" w14:textId="23C71EA5" w:rsidR="00860DB5" w:rsidRPr="00161054" w:rsidRDefault="00397989" w:rsidP="00D70D9A">
      <w:pPr>
        <w:spacing w:line="360" w:lineRule="auto"/>
        <w:ind w:left="-450" w:firstLine="90"/>
        <w:jc w:val="both"/>
        <w:rPr>
          <w:rFonts w:ascii="Sylfaen" w:hAnsi="Sylfaen"/>
          <w:lang w:val="ru-RU"/>
        </w:rPr>
      </w:pPr>
      <w:r w:rsidRPr="00161054">
        <w:rPr>
          <w:rFonts w:ascii="Sylfaen" w:hAnsi="Sylfaen"/>
          <w:lang w:val="ru-RU"/>
        </w:rPr>
        <w:t xml:space="preserve">2) </w:t>
      </w:r>
      <w:r w:rsidR="006456D9" w:rsidRPr="006456D9">
        <w:rPr>
          <w:rFonts w:ascii="Sylfaen" w:hAnsi="Sylfaen"/>
          <w:color w:val="000000"/>
          <w:shd w:val="clear" w:color="auto" w:fill="FFFFFF"/>
          <w:lang w:val="ru-RU"/>
        </w:rPr>
        <w:t>поставщики консультационных, юридических, бухгалтерских, инжиниринговых, рекламных, дизайнерских, маркетинговых, переводческих</w:t>
      </w:r>
      <w:r w:rsidR="008C2888">
        <w:rPr>
          <w:rFonts w:ascii="Sylfaen" w:hAnsi="Sylfaen"/>
          <w:color w:val="000000"/>
          <w:shd w:val="clear" w:color="auto" w:fill="FFFFFF"/>
          <w:lang w:val="hy-AM"/>
        </w:rPr>
        <w:t xml:space="preserve"> </w:t>
      </w:r>
      <w:r w:rsidR="008C2888" w:rsidRPr="006456D9">
        <w:rPr>
          <w:rFonts w:ascii="Sylfaen" w:hAnsi="Sylfaen"/>
          <w:color w:val="000000"/>
          <w:shd w:val="clear" w:color="auto" w:fill="FFFFFF"/>
          <w:lang w:val="ru-RU"/>
        </w:rPr>
        <w:t>услуг</w:t>
      </w:r>
      <w:r w:rsidR="006456D9" w:rsidRPr="006456D9">
        <w:rPr>
          <w:rFonts w:ascii="Sylfaen" w:hAnsi="Sylfaen"/>
          <w:color w:val="000000"/>
          <w:shd w:val="clear" w:color="auto" w:fill="FFFFFF"/>
          <w:lang w:val="ru-RU"/>
        </w:rPr>
        <w:t>, экспертизы, тестирования, медицинского обслуживания, стоматологических, парикмахерских, ухода за телом, технического обслуживания и ремонта автомобилей, посредничества (включая покупку и продажу недвижимости и ( или) аренда или предоставление в бесплатное пользование)</w:t>
      </w:r>
      <w:r w:rsidR="006456D9" w:rsidRPr="006456D9">
        <w:rPr>
          <w:rFonts w:ascii="Sylfaen" w:hAnsi="Sylfaen"/>
          <w:color w:val="000000"/>
          <w:shd w:val="clear" w:color="auto" w:fill="FFFFFF"/>
          <w:lang w:val="ru-RU"/>
        </w:rPr>
        <w:t xml:space="preserve">, </w:t>
      </w:r>
      <w:r w:rsidR="00C66E5A" w:rsidRPr="00C66E5A">
        <w:rPr>
          <w:rFonts w:ascii="Sylfaen" w:hAnsi="Sylfaen"/>
          <w:lang w:val="ru-RU"/>
        </w:rPr>
        <w:t>осуществляющие разработку программного обеспечения, обработку информации (в том числе сбор и обобщение информации) и ее передачу, научно-исследовательские, опытно-конструкторские и опытно-технологические (технологические) и строительные работы</w:t>
      </w:r>
      <w:r w:rsidRPr="00161054">
        <w:rPr>
          <w:rFonts w:ascii="Sylfaen" w:hAnsi="Sylfaen"/>
          <w:lang w:val="ru-RU"/>
        </w:rPr>
        <w:t xml:space="preserve">, </w:t>
      </w:r>
      <w:r w:rsidR="00010345" w:rsidRPr="00010345">
        <w:rPr>
          <w:rFonts w:ascii="Sylfaen" w:hAnsi="Sylfaen"/>
          <w:lang w:val="ru-RU"/>
        </w:rPr>
        <w:t>выполняющие работы по разработке архитектурно-проектной документации</w:t>
      </w:r>
      <w:r w:rsidR="00010345" w:rsidRPr="00B83845">
        <w:rPr>
          <w:rFonts w:ascii="Sylfaen" w:hAnsi="Sylfaen"/>
          <w:lang w:val="ru-RU"/>
        </w:rPr>
        <w:t>,</w:t>
      </w:r>
      <w:r w:rsidR="00B83845">
        <w:rPr>
          <w:rFonts w:ascii="Sylfaen" w:hAnsi="Sylfaen"/>
          <w:lang w:val="hy-AM"/>
        </w:rPr>
        <w:t xml:space="preserve"> </w:t>
      </w:r>
      <w:r w:rsidR="00B83845" w:rsidRPr="00B83845">
        <w:rPr>
          <w:rFonts w:ascii="Sylfaen" w:hAnsi="Sylfaen"/>
          <w:lang w:val="hy-AM"/>
        </w:rPr>
        <w:t>осуществляющие оценочную и геодезическую деятельность</w:t>
      </w:r>
      <w:r w:rsidR="00B83845">
        <w:rPr>
          <w:rFonts w:ascii="Sylfaen" w:hAnsi="Sylfaen"/>
          <w:lang w:val="hy-AM"/>
        </w:rPr>
        <w:t>,</w:t>
      </w:r>
      <w:r w:rsidRPr="00161054">
        <w:rPr>
          <w:rFonts w:ascii="Sylfaen" w:hAnsi="Sylfaen"/>
          <w:lang w:val="ru-RU"/>
        </w:rPr>
        <w:t xml:space="preserve"> </w:t>
      </w:r>
      <w:r w:rsidR="0000410F" w:rsidRPr="0000410F">
        <w:rPr>
          <w:rFonts w:ascii="Sylfaen" w:hAnsi="Sylfaen"/>
          <w:lang w:val="ru-RU"/>
        </w:rPr>
        <w:t>осуществляющие деятельность в сфере общественного питания в административных границах города Еревана</w:t>
      </w:r>
      <w:r w:rsidR="0000410F" w:rsidRPr="0000410F">
        <w:rPr>
          <w:rFonts w:ascii="Sylfaen" w:hAnsi="Sylfaen"/>
          <w:lang w:val="ru-RU"/>
        </w:rPr>
        <w:t xml:space="preserve"> </w:t>
      </w:r>
      <w:r w:rsidRPr="00161054">
        <w:rPr>
          <w:rFonts w:ascii="Sylfaen" w:hAnsi="Sylfaen"/>
          <w:lang w:val="ru-RU"/>
        </w:rPr>
        <w:t>(</w:t>
      </w:r>
      <w:r w:rsidR="00C1230C" w:rsidRPr="00C1230C">
        <w:rPr>
          <w:rFonts w:ascii="Sylfaen" w:hAnsi="Sylfaen"/>
          <w:lang w:val="ru-RU"/>
        </w:rPr>
        <w:t>за исключением деятельности в сфере общественного питания (завтрак, обед, ужин), непосредственно связанной с гостиничными услугами, оказываемыми через туристические дома, предусмотренной приложением 3 Кодекса</w:t>
      </w:r>
      <w:r w:rsidRPr="00161054">
        <w:rPr>
          <w:rFonts w:ascii="Sylfaen" w:hAnsi="Sylfaen"/>
          <w:lang w:val="ru-RU"/>
        </w:rPr>
        <w:t xml:space="preserve">), </w:t>
      </w:r>
      <w:r w:rsidR="00C938BD" w:rsidRPr="00C938BD">
        <w:rPr>
          <w:rFonts w:ascii="Sylfaen" w:hAnsi="Sylfaen"/>
          <w:lang w:val="ru-RU"/>
        </w:rPr>
        <w:t>а также выполняющие иные работы или оказывающие услуги, аналогичные работам или услугам, указанным в настоящем пункте</w:t>
      </w:r>
      <w:r w:rsidRPr="00161054">
        <w:rPr>
          <w:rFonts w:ascii="Sylfaen" w:hAnsi="Sylfaen"/>
          <w:lang w:val="ru-RU"/>
        </w:rPr>
        <w:t>.</w:t>
      </w:r>
    </w:p>
    <w:p w14:paraId="609DF36F" w14:textId="5EF3C6BB" w:rsidR="00526E98" w:rsidRPr="00161054" w:rsidRDefault="00526E98" w:rsidP="00D70D9A">
      <w:pPr>
        <w:spacing w:line="360" w:lineRule="auto"/>
        <w:ind w:left="-450" w:firstLine="90"/>
        <w:jc w:val="both"/>
        <w:rPr>
          <w:rFonts w:ascii="Sylfaen" w:hAnsi="Sylfaen"/>
          <w:color w:val="000000"/>
          <w:sz w:val="21"/>
          <w:szCs w:val="21"/>
          <w:shd w:val="clear" w:color="auto" w:fill="FFFFFF"/>
          <w:lang w:val="ru-RU"/>
        </w:rPr>
      </w:pPr>
      <w:r w:rsidRPr="00161054">
        <w:rPr>
          <w:rFonts w:ascii="Sylfaen" w:hAnsi="Sylfaen"/>
          <w:lang w:val="ru-RU"/>
        </w:rPr>
        <w:t xml:space="preserve">3) </w:t>
      </w:r>
      <w:r w:rsidRPr="00161054">
        <w:rPr>
          <w:rFonts w:ascii="Sylfaen" w:hAnsi="Sylfaen"/>
          <w:color w:val="000000"/>
          <w:sz w:val="21"/>
          <w:szCs w:val="21"/>
          <w:shd w:val="clear" w:color="auto" w:fill="FFFFFF"/>
          <w:lang w:val="ru-RU"/>
        </w:rPr>
        <w:t>организации и индивидуальные предприниматели, занимающиеся видами деятельности, установленными статьями 19.7 и 19.8 Закона Республики Армения "О государственной пошлине", — по части этих видов деятельности</w:t>
      </w:r>
    </w:p>
    <w:p w14:paraId="491BEDEB" w14:textId="544787AB" w:rsidR="00526E98" w:rsidRPr="00161054" w:rsidRDefault="00526E98" w:rsidP="00D70D9A">
      <w:pPr>
        <w:spacing w:line="360" w:lineRule="auto"/>
        <w:ind w:left="-450" w:firstLine="90"/>
        <w:jc w:val="both"/>
        <w:rPr>
          <w:rFonts w:ascii="Sylfaen" w:hAnsi="Sylfaen"/>
          <w:color w:val="000000"/>
          <w:sz w:val="21"/>
          <w:szCs w:val="21"/>
          <w:shd w:val="clear" w:color="auto" w:fill="FFFFFF"/>
          <w:lang w:val="ru-RU"/>
        </w:rPr>
      </w:pPr>
      <w:r w:rsidRPr="00161054">
        <w:rPr>
          <w:rFonts w:ascii="Sylfaen" w:hAnsi="Sylfaen"/>
          <w:color w:val="000000"/>
          <w:sz w:val="21"/>
          <w:szCs w:val="21"/>
          <w:shd w:val="clear" w:color="auto" w:fill="FFFFFF"/>
          <w:lang w:val="ru-RU"/>
        </w:rPr>
        <w:t>4)</w:t>
      </w:r>
      <w:r w:rsidR="00911525" w:rsidRPr="00161054">
        <w:rPr>
          <w:rFonts w:ascii="Sylfaen" w:hAnsi="Sylfaen"/>
          <w:color w:val="000000"/>
          <w:sz w:val="21"/>
          <w:szCs w:val="21"/>
          <w:shd w:val="clear" w:color="auto" w:fill="FFFFFF"/>
          <w:lang w:val="ru-RU"/>
        </w:rPr>
        <w:t xml:space="preserve"> </w:t>
      </w:r>
      <w:r w:rsidR="00911525" w:rsidRPr="00161054">
        <w:rPr>
          <w:rFonts w:ascii="Sylfaen" w:hAnsi="Sylfaen"/>
          <w:color w:val="000000"/>
          <w:sz w:val="21"/>
          <w:szCs w:val="21"/>
          <w:shd w:val="clear" w:color="auto" w:fill="FFFFFF"/>
          <w:lang w:val="ru-RU"/>
        </w:rPr>
        <w:t xml:space="preserve">согласно части 1 статьи 30 Кодекса — организации и физические лица, считающиеся аффилированными, за исключением случаев, когда согласно части 1 статьи 30 Кодекса аффилированные </w:t>
      </w:r>
      <w:r w:rsidR="00911525" w:rsidRPr="00161054">
        <w:rPr>
          <w:rFonts w:ascii="Sylfaen" w:hAnsi="Sylfaen"/>
          <w:color w:val="000000"/>
          <w:sz w:val="21"/>
          <w:szCs w:val="21"/>
          <w:shd w:val="clear" w:color="auto" w:fill="FFFFFF"/>
          <w:lang w:val="ru-RU"/>
        </w:rPr>
        <w:lastRenderedPageBreak/>
        <w:t>с ними организации и (или) физические лица представили в налоговый орган объявление о прекращении деятельности и после дня представления объявления, а в случае указания в объявлении иного дня прекращения деятельности — после этого дня не осуществляли фактической деятельности;</w:t>
      </w:r>
    </w:p>
    <w:p w14:paraId="572CA028" w14:textId="2B16E5AE" w:rsidR="00911525" w:rsidRPr="00161054" w:rsidRDefault="00911525" w:rsidP="00D70D9A">
      <w:pPr>
        <w:spacing w:line="360" w:lineRule="auto"/>
        <w:ind w:left="-450" w:firstLine="90"/>
        <w:jc w:val="both"/>
        <w:rPr>
          <w:rFonts w:ascii="Sylfaen" w:hAnsi="Sylfaen"/>
          <w:color w:val="000000"/>
          <w:sz w:val="21"/>
          <w:szCs w:val="21"/>
          <w:shd w:val="clear" w:color="auto" w:fill="FFFFFF"/>
          <w:lang w:val="ru-RU"/>
        </w:rPr>
      </w:pPr>
      <w:r w:rsidRPr="00161054">
        <w:rPr>
          <w:rFonts w:ascii="Sylfaen" w:hAnsi="Sylfaen"/>
          <w:color w:val="000000"/>
          <w:sz w:val="21"/>
          <w:szCs w:val="21"/>
          <w:shd w:val="clear" w:color="auto" w:fill="FFFFFF"/>
          <w:lang w:val="ru-RU"/>
        </w:rPr>
        <w:t>5)</w:t>
      </w:r>
      <w:r w:rsidR="00FD249A" w:rsidRPr="00161054">
        <w:rPr>
          <w:rFonts w:ascii="Sylfaen" w:hAnsi="Sylfaen"/>
          <w:color w:val="000000"/>
          <w:sz w:val="21"/>
          <w:szCs w:val="21"/>
          <w:shd w:val="clear" w:color="auto" w:fill="FFFFFF"/>
          <w:lang w:val="ru-RU"/>
        </w:rPr>
        <w:t xml:space="preserve"> </w:t>
      </w:r>
      <w:r w:rsidR="00FD249A" w:rsidRPr="00161054">
        <w:rPr>
          <w:rFonts w:ascii="Sylfaen" w:hAnsi="Sylfaen"/>
          <w:color w:val="000000"/>
          <w:sz w:val="21"/>
          <w:szCs w:val="21"/>
          <w:shd w:val="clear" w:color="auto" w:fill="FFFFFF"/>
          <w:lang w:val="ru-RU"/>
        </w:rPr>
        <w:t>согласно части 2 статьи 30 Кодекса — организации и физические лица, считающиеся аффилированными, если итоговая сумма оборотов по реализации по части всех видов деятельности признанных по решению руководителя налогового органа аффилированными коммерческих организаций и физических лиц в течение предыдущего налогового года или текущего налогового года превышает 24 миллиона драмов;</w:t>
      </w:r>
    </w:p>
    <w:p w14:paraId="2875FE95" w14:textId="28142668" w:rsidR="00FD249A" w:rsidRPr="00161054" w:rsidRDefault="00FD249A" w:rsidP="00D70D9A">
      <w:pPr>
        <w:spacing w:line="360" w:lineRule="auto"/>
        <w:ind w:left="-450" w:firstLine="90"/>
        <w:jc w:val="both"/>
        <w:rPr>
          <w:rFonts w:ascii="Sylfaen" w:hAnsi="Sylfaen"/>
          <w:color w:val="000000"/>
          <w:sz w:val="21"/>
          <w:szCs w:val="21"/>
          <w:shd w:val="clear" w:color="auto" w:fill="FFFFFF"/>
          <w:lang w:val="ru-RU"/>
        </w:rPr>
      </w:pPr>
      <w:r w:rsidRPr="00161054">
        <w:rPr>
          <w:rFonts w:ascii="Sylfaen" w:hAnsi="Sylfaen"/>
          <w:color w:val="000000"/>
          <w:sz w:val="21"/>
          <w:szCs w:val="21"/>
          <w:shd w:val="clear" w:color="auto" w:fill="FFFFFF"/>
          <w:lang w:val="ru-RU"/>
        </w:rPr>
        <w:t xml:space="preserve">6) </w:t>
      </w:r>
      <w:r w:rsidR="00CE19BE" w:rsidRPr="00161054">
        <w:rPr>
          <w:rFonts w:ascii="Sylfaen" w:hAnsi="Sylfaen"/>
          <w:color w:val="000000"/>
          <w:sz w:val="21"/>
          <w:szCs w:val="21"/>
          <w:shd w:val="clear" w:color="auto" w:fill="FFFFFF"/>
          <w:lang w:val="ru-RU"/>
        </w:rPr>
        <w:t>организации и физические лица, являющиеся стороной установленного статьей 31 Кодекса договора о совместной деятельности, а также договора комиссии на поставку товаров или агентского договора на поставку товаров, предусматривающего условие совершения действий от имени агента;</w:t>
      </w:r>
    </w:p>
    <w:p w14:paraId="71EB60AC" w14:textId="5414B8F6" w:rsidR="00CE19BE" w:rsidRPr="00B36C5C" w:rsidRDefault="00CE19BE" w:rsidP="00CE499B">
      <w:pPr>
        <w:spacing w:line="360" w:lineRule="auto"/>
        <w:ind w:left="-450" w:firstLine="90"/>
        <w:jc w:val="both"/>
        <w:rPr>
          <w:rFonts w:ascii="Sylfaen" w:hAnsi="Sylfaen"/>
          <w:color w:val="000000"/>
          <w:sz w:val="21"/>
          <w:szCs w:val="21"/>
          <w:shd w:val="clear" w:color="auto" w:fill="FFFFFF"/>
          <w:lang w:val="ru-RU"/>
        </w:rPr>
      </w:pPr>
      <w:r w:rsidRPr="00161054">
        <w:rPr>
          <w:rFonts w:ascii="Sylfaen" w:hAnsi="Sylfaen"/>
          <w:color w:val="000000"/>
          <w:sz w:val="21"/>
          <w:szCs w:val="21"/>
          <w:shd w:val="clear" w:color="auto" w:fill="FFFFFF"/>
          <w:lang w:val="ru-RU"/>
        </w:rPr>
        <w:t>7</w:t>
      </w:r>
      <w:r w:rsidR="00CE499B" w:rsidRPr="00161054">
        <w:rPr>
          <w:rFonts w:ascii="Sylfaen" w:hAnsi="Sylfaen"/>
          <w:color w:val="000000"/>
          <w:sz w:val="21"/>
          <w:szCs w:val="21"/>
          <w:shd w:val="clear" w:color="auto" w:fill="FFFFFF"/>
          <w:lang w:val="ru-RU"/>
        </w:rPr>
        <w:t xml:space="preserve">) </w:t>
      </w:r>
      <w:r w:rsidR="00161054" w:rsidRPr="00161054">
        <w:rPr>
          <w:rFonts w:ascii="Sylfaen" w:hAnsi="Sylfaen"/>
          <w:color w:val="000000"/>
          <w:sz w:val="21"/>
          <w:szCs w:val="21"/>
          <w:shd w:val="clear" w:color="auto" w:fill="FFFFFF"/>
          <w:lang w:val="ru-RU"/>
        </w:rPr>
        <w:t>не являющиеся индивидуальным предпринимателем физические лица, использующие в процессе своей деятельности работу не являющихся индивидуальными предпринимателями иных физических лиц</w:t>
      </w:r>
      <w:r w:rsidR="00B36C5C" w:rsidRPr="00B36C5C">
        <w:rPr>
          <w:rFonts w:ascii="Sylfaen" w:hAnsi="Sylfaen"/>
          <w:color w:val="000000"/>
          <w:sz w:val="21"/>
          <w:szCs w:val="21"/>
          <w:shd w:val="clear" w:color="auto" w:fill="FFFFFF"/>
          <w:lang w:val="ru-RU"/>
        </w:rPr>
        <w:t>.</w:t>
      </w:r>
    </w:p>
    <w:p w14:paraId="2F5DACC5" w14:textId="37B9D21D" w:rsidR="00090BEE" w:rsidRPr="00161054" w:rsidRDefault="00090BEE" w:rsidP="00D70D9A">
      <w:pPr>
        <w:spacing w:line="360" w:lineRule="auto"/>
        <w:jc w:val="both"/>
        <w:rPr>
          <w:rFonts w:ascii="Sylfaen" w:hAnsi="Sylfaen"/>
          <w:lang w:val="hy-AM"/>
        </w:rPr>
      </w:pPr>
    </w:p>
    <w:p w14:paraId="6EBE867D" w14:textId="1E3A4F17" w:rsidR="00090BEE" w:rsidRPr="00161054" w:rsidRDefault="00090BEE" w:rsidP="00D70D9A">
      <w:pPr>
        <w:spacing w:line="360" w:lineRule="auto"/>
        <w:jc w:val="both"/>
        <w:rPr>
          <w:rFonts w:ascii="Sylfaen" w:hAnsi="Sylfaen"/>
          <w:lang w:val="ru-RU"/>
        </w:rPr>
      </w:pPr>
    </w:p>
    <w:p w14:paraId="3DF8EB90" w14:textId="77777777" w:rsidR="00090BEE" w:rsidRPr="00161054" w:rsidRDefault="00090BEE" w:rsidP="00D70D9A">
      <w:pPr>
        <w:spacing w:line="360" w:lineRule="auto"/>
        <w:jc w:val="both"/>
        <w:rPr>
          <w:rFonts w:ascii="Sylfaen" w:hAnsi="Sylfaen"/>
          <w:lang w:val="ru-RU"/>
        </w:rPr>
      </w:pPr>
    </w:p>
    <w:sectPr w:rsidR="00090BEE" w:rsidRPr="001610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6FC"/>
    <w:rsid w:val="0000410F"/>
    <w:rsid w:val="00010345"/>
    <w:rsid w:val="000576EC"/>
    <w:rsid w:val="00090BEE"/>
    <w:rsid w:val="001247E7"/>
    <w:rsid w:val="00135931"/>
    <w:rsid w:val="00150FBC"/>
    <w:rsid w:val="00161054"/>
    <w:rsid w:val="001F6732"/>
    <w:rsid w:val="00340207"/>
    <w:rsid w:val="00397989"/>
    <w:rsid w:val="00526E98"/>
    <w:rsid w:val="00555535"/>
    <w:rsid w:val="005D3473"/>
    <w:rsid w:val="005F202B"/>
    <w:rsid w:val="006456D9"/>
    <w:rsid w:val="00657FD9"/>
    <w:rsid w:val="00711A31"/>
    <w:rsid w:val="00844DEC"/>
    <w:rsid w:val="00860DB5"/>
    <w:rsid w:val="008C2888"/>
    <w:rsid w:val="00911525"/>
    <w:rsid w:val="00A140FF"/>
    <w:rsid w:val="00AC467C"/>
    <w:rsid w:val="00B36C5C"/>
    <w:rsid w:val="00B73801"/>
    <w:rsid w:val="00B83845"/>
    <w:rsid w:val="00C1230C"/>
    <w:rsid w:val="00C66E5A"/>
    <w:rsid w:val="00C84E83"/>
    <w:rsid w:val="00C938BD"/>
    <w:rsid w:val="00CE19BE"/>
    <w:rsid w:val="00CE499B"/>
    <w:rsid w:val="00D216FC"/>
    <w:rsid w:val="00D56845"/>
    <w:rsid w:val="00D70D9A"/>
    <w:rsid w:val="00D85BBC"/>
    <w:rsid w:val="00DE5705"/>
    <w:rsid w:val="00F46C66"/>
    <w:rsid w:val="00F86139"/>
    <w:rsid w:val="00FD2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DB84B7"/>
  <w15:chartTrackingRefBased/>
  <w15:docId w15:val="{EF5D98CC-E95A-470F-8E32-94B1C8B67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40FF"/>
  </w:style>
  <w:style w:type="paragraph" w:styleId="Heading1">
    <w:name w:val="heading 1"/>
    <w:basedOn w:val="Normal"/>
    <w:next w:val="Normal"/>
    <w:link w:val="Heading1Char"/>
    <w:uiPriority w:val="9"/>
    <w:qFormat/>
    <w:rsid w:val="00A140FF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40FF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40FF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40F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40F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140F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140F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140F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140F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40FF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40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40FF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40FF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40FF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40FF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40FF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40FF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40FF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140FF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A140FF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A140FF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40FF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140FF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A140FF"/>
    <w:rPr>
      <w:b/>
      <w:bCs/>
    </w:rPr>
  </w:style>
  <w:style w:type="character" w:styleId="Emphasis">
    <w:name w:val="Emphasis"/>
    <w:basedOn w:val="DefaultParagraphFont"/>
    <w:uiPriority w:val="20"/>
    <w:qFormat/>
    <w:rsid w:val="00A140FF"/>
    <w:rPr>
      <w:i/>
      <w:iCs/>
    </w:rPr>
  </w:style>
  <w:style w:type="paragraph" w:styleId="NoSpacing">
    <w:name w:val="No Spacing"/>
    <w:uiPriority w:val="1"/>
    <w:qFormat/>
    <w:rsid w:val="00A140F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A140FF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A140FF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40FF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140FF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A140FF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A140FF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A140FF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A140FF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A140FF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140FF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9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1">
      <a:majorFont>
        <a:latin typeface="Sylfaen"/>
        <a:ea typeface=""/>
        <a:cs typeface=""/>
      </a:majorFont>
      <a:minorFont>
        <a:latin typeface="Sylfae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503</Words>
  <Characters>2869</Characters>
  <Application>Microsoft Office Word</Application>
  <DocSecurity>0</DocSecurity>
  <Lines>23</Lines>
  <Paragraphs>6</Paragraphs>
  <ScaleCrop>false</ScaleCrop>
  <Company/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Lusine Tsaturyan</dc:creator>
  <cp:keywords/>
  <dc:description/>
  <cp:lastModifiedBy>Lusine Tsaturyan</cp:lastModifiedBy>
  <cp:revision>46</cp:revision>
  <dcterms:created xsi:type="dcterms:W3CDTF">2024-07-18T08:13:00Z</dcterms:created>
  <dcterms:modified xsi:type="dcterms:W3CDTF">2024-07-18T08:38:00Z</dcterms:modified>
</cp:coreProperties>
</file>